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958"/>
      </w:tblGrid>
      <w:tr w:rsidR="009A1FA9" w:rsidTr="009A1FA9">
        <w:trPr>
          <w:tblCellSpacing w:w="0" w:type="dxa"/>
          <w:jc w:val="center"/>
        </w:trPr>
        <w:tc>
          <w:tcPr>
            <w:tcW w:w="0" w:type="auto"/>
            <w:vAlign w:val="center"/>
            <w:hideMark/>
          </w:tcPr>
          <w:p w:rsidR="009A1FA9" w:rsidRDefault="009A1FA9" w:rsidP="009A1FA9">
            <w:pPr>
              <w:pStyle w:val="2"/>
              <w:jc w:val="center"/>
              <w:rPr>
                <w:rFonts w:ascii="微软雅黑" w:eastAsia="微软雅黑" w:hAnsi="微软雅黑"/>
                <w:color w:val="000000"/>
              </w:rPr>
            </w:pPr>
            <w:r>
              <w:rPr>
                <w:rFonts w:ascii="微软雅黑" w:eastAsia="微软雅黑" w:hAnsi="微软雅黑" w:hint="eastAsia"/>
                <w:color w:val="0D69AD"/>
              </w:rPr>
              <w:t>中标（成交）结果公示</w:t>
            </w:r>
          </w:p>
          <w:p w:rsidR="009A1FA9" w:rsidRDefault="009A1FA9" w:rsidP="009A1FA9">
            <w:pPr>
              <w:pStyle w:val="a8"/>
              <w:spacing w:line="300" w:lineRule="atLeast"/>
              <w:rPr>
                <w:rFonts w:ascii="微软雅黑" w:eastAsia="微软雅黑" w:hAnsi="微软雅黑" w:hint="eastAsia"/>
                <w:color w:val="000000"/>
                <w:sz w:val="20"/>
                <w:szCs w:val="20"/>
              </w:rPr>
            </w:pPr>
          </w:p>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一、项目编号：SZDL2021338250</w:t>
            </w:r>
            <w:bookmarkStart w:id="0" w:name="_GoBack"/>
            <w:bookmarkEnd w:id="0"/>
          </w:p>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二、项目名称：龙岗区2021年农产品快速检测项目</w:t>
            </w:r>
          </w:p>
        </w:tc>
      </w:tr>
      <w:tr w:rsidR="009A1FA9" w:rsidTr="009A1FA9">
        <w:trPr>
          <w:tblCellSpacing w:w="0" w:type="dxa"/>
          <w:jc w:val="center"/>
        </w:trPr>
        <w:tc>
          <w:tcPr>
            <w:tcW w:w="0" w:type="auto"/>
            <w:vAlign w:val="center"/>
            <w:hideMark/>
          </w:tcPr>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三、投标供应商名称及报价：</w:t>
            </w:r>
          </w:p>
          <w:tbl>
            <w:tblPr>
              <w:tblW w:w="21600"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987"/>
              <w:gridCol w:w="12343"/>
              <w:gridCol w:w="7270"/>
            </w:tblGrid>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rFonts w:hint="eastAsia"/>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中标“1-下浮率”</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深圳中检联检测有限公司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0.3</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深圳市中鼎检测技术有限公司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0.7</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华测检测认证集团股份有限公司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0.88</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深圳市计量质量检测研究院</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0.93</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深圳海关食品检验检疫技术中心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0.95</w:t>
                  </w:r>
                </w:p>
              </w:tc>
            </w:tr>
          </w:tbl>
          <w:p w:rsidR="009A1FA9" w:rsidRDefault="009A1FA9">
            <w:pPr>
              <w:spacing w:line="300" w:lineRule="atLeast"/>
              <w:rPr>
                <w:rFonts w:ascii="微软雅黑" w:eastAsia="微软雅黑" w:hAnsi="微软雅黑"/>
                <w:color w:val="000000"/>
                <w:sz w:val="20"/>
                <w:szCs w:val="20"/>
              </w:rPr>
            </w:pPr>
          </w:p>
        </w:tc>
      </w:tr>
      <w:tr w:rsidR="009A1FA9" w:rsidTr="009A1FA9">
        <w:trPr>
          <w:tblCellSpacing w:w="0" w:type="dxa"/>
          <w:jc w:val="center"/>
        </w:trPr>
        <w:tc>
          <w:tcPr>
            <w:tcW w:w="0" w:type="auto"/>
            <w:vAlign w:val="center"/>
            <w:hideMark/>
          </w:tcPr>
          <w:p w:rsidR="009A1FA9" w:rsidRDefault="009A1FA9" w:rsidP="009A1FA9">
            <w:pPr>
              <w:pStyle w:val="3"/>
              <w:spacing w:line="300" w:lineRule="atLeast"/>
              <w:rPr>
                <w:rFonts w:ascii="微软雅黑" w:eastAsia="微软雅黑" w:hAnsi="微软雅黑"/>
                <w:color w:val="000000"/>
              </w:rPr>
            </w:pPr>
            <w:r>
              <w:rPr>
                <w:rFonts w:ascii="微软雅黑" w:eastAsia="微软雅黑" w:hAnsi="微软雅黑" w:hint="eastAsia"/>
                <w:color w:val="000000"/>
              </w:rPr>
              <w:t>       四、候选中标供应商名单：</w:t>
            </w:r>
          </w:p>
        </w:tc>
      </w:tr>
      <w:tr w:rsidR="009A1FA9" w:rsidTr="009A1FA9">
        <w:trPr>
          <w:tblCellSpacing w:w="0" w:type="dxa"/>
          <w:jc w:val="center"/>
        </w:trPr>
        <w:tc>
          <w:tcPr>
            <w:tcW w:w="0" w:type="auto"/>
            <w:vAlign w:val="center"/>
            <w:hideMark/>
          </w:tcPr>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投标单位(A包)： 深圳市计量质量检测研究院； 深圳中检联检测有限公司； 华测检测认证集团股份有限公司；</w:t>
            </w:r>
          </w:p>
        </w:tc>
      </w:tr>
      <w:tr w:rsidR="009A1FA9" w:rsidTr="009A1FA9">
        <w:trPr>
          <w:tblCellSpacing w:w="0" w:type="dxa"/>
          <w:jc w:val="center"/>
        </w:trPr>
        <w:tc>
          <w:tcPr>
            <w:tcW w:w="0" w:type="auto"/>
            <w:vAlign w:val="center"/>
            <w:hideMark/>
          </w:tcPr>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五、中标（成交）信息：</w:t>
            </w:r>
          </w:p>
        </w:tc>
      </w:tr>
      <w:tr w:rsidR="009A1FA9" w:rsidTr="009A1FA9">
        <w:trPr>
          <w:tblCellSpacing w:w="0" w:type="dxa"/>
          <w:jc w:val="center"/>
        </w:trPr>
        <w:tc>
          <w:tcPr>
            <w:tcW w:w="0" w:type="auto"/>
            <w:vAlign w:val="center"/>
            <w:hideMark/>
          </w:tcPr>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包组：A</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供应商名称： 深圳市计量质量检测研究院</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供应商地址：深圳市南山区西丽街道同发路4号</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中标（成交）金额：本项为资格招标，按实际发生金额结算，合同期内支付上限为955万元。</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中标“1-下浮率”：0.93</w:t>
            </w:r>
          </w:p>
        </w:tc>
      </w:tr>
      <w:tr w:rsidR="009A1FA9" w:rsidTr="009A1FA9">
        <w:trPr>
          <w:tblCellSpacing w:w="0" w:type="dxa"/>
          <w:jc w:val="center"/>
        </w:trPr>
        <w:tc>
          <w:tcPr>
            <w:tcW w:w="0" w:type="auto"/>
            <w:vAlign w:val="center"/>
            <w:hideMark/>
          </w:tcPr>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六、主要标的信息</w:t>
            </w:r>
          </w:p>
          <w:tbl>
            <w:tblPr>
              <w:tblW w:w="21600"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21600"/>
            </w:tblGrid>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jc w:val="center"/>
                    <w:rPr>
                      <w:rFonts w:ascii="宋体" w:eastAsia="宋体" w:hAnsi="宋体" w:hint="eastAsia"/>
                      <w:sz w:val="20"/>
                      <w:szCs w:val="20"/>
                    </w:rPr>
                  </w:pPr>
                  <w:r>
                    <w:rPr>
                      <w:sz w:val="20"/>
                      <w:szCs w:val="20"/>
                    </w:rPr>
                    <w:t>服务类</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rPr>
                      <w:sz w:val="20"/>
                      <w:szCs w:val="20"/>
                    </w:rPr>
                  </w:pPr>
                  <w:r>
                    <w:rPr>
                      <w:sz w:val="20"/>
                      <w:szCs w:val="20"/>
                    </w:rPr>
                    <w:t>名称：龙岗区2021年农产品快速检测项目</w:t>
                  </w:r>
                </w:p>
                <w:p w:rsidR="009A1FA9" w:rsidRDefault="009A1FA9">
                  <w:pPr>
                    <w:pStyle w:val="a8"/>
                    <w:rPr>
                      <w:sz w:val="20"/>
                      <w:szCs w:val="20"/>
                    </w:rPr>
                  </w:pPr>
                  <w:r>
                    <w:rPr>
                      <w:sz w:val="20"/>
                      <w:szCs w:val="20"/>
                    </w:rPr>
                    <w:lastRenderedPageBreak/>
                    <w:t>服务范围：详见附件</w:t>
                  </w:r>
                </w:p>
                <w:p w:rsidR="009A1FA9" w:rsidRDefault="009A1FA9">
                  <w:pPr>
                    <w:pStyle w:val="a8"/>
                    <w:rPr>
                      <w:sz w:val="20"/>
                      <w:szCs w:val="20"/>
                    </w:rPr>
                  </w:pPr>
                  <w:r>
                    <w:rPr>
                      <w:sz w:val="20"/>
                      <w:szCs w:val="20"/>
                    </w:rPr>
                    <w:t>服务要求：详见附件</w:t>
                  </w:r>
                </w:p>
                <w:p w:rsidR="009A1FA9" w:rsidRDefault="009A1FA9">
                  <w:pPr>
                    <w:pStyle w:val="a8"/>
                    <w:rPr>
                      <w:sz w:val="20"/>
                      <w:szCs w:val="20"/>
                    </w:rPr>
                  </w:pPr>
                  <w:r>
                    <w:rPr>
                      <w:sz w:val="20"/>
                      <w:szCs w:val="20"/>
                    </w:rPr>
                    <w:t>服务时间：详见附件</w:t>
                  </w:r>
                </w:p>
                <w:p w:rsidR="009A1FA9" w:rsidRDefault="009A1FA9">
                  <w:pPr>
                    <w:pStyle w:val="a8"/>
                    <w:rPr>
                      <w:sz w:val="20"/>
                      <w:szCs w:val="20"/>
                    </w:rPr>
                  </w:pPr>
                  <w:r>
                    <w:rPr>
                      <w:sz w:val="20"/>
                      <w:szCs w:val="20"/>
                    </w:rPr>
                    <w:t>服务标准：详见附件</w:t>
                  </w:r>
                </w:p>
              </w:tc>
            </w:tr>
          </w:tbl>
          <w:p w:rsidR="009A1FA9" w:rsidRDefault="009A1FA9">
            <w:pPr>
              <w:spacing w:line="300" w:lineRule="atLeast"/>
              <w:rPr>
                <w:rFonts w:ascii="微软雅黑" w:eastAsia="微软雅黑" w:hAnsi="微软雅黑"/>
                <w:color w:val="000000"/>
                <w:sz w:val="20"/>
                <w:szCs w:val="20"/>
              </w:rPr>
            </w:pPr>
          </w:p>
        </w:tc>
      </w:tr>
      <w:tr w:rsidR="009A1FA9" w:rsidTr="009A1FA9">
        <w:trPr>
          <w:tblCellSpacing w:w="0" w:type="dxa"/>
          <w:jc w:val="center"/>
        </w:trPr>
        <w:tc>
          <w:tcPr>
            <w:tcW w:w="0" w:type="auto"/>
            <w:vAlign w:val="center"/>
            <w:hideMark/>
          </w:tcPr>
          <w:p w:rsidR="009A1FA9" w:rsidRDefault="009A1FA9" w:rsidP="009A1FA9">
            <w:pPr>
              <w:pStyle w:val="3"/>
              <w:spacing w:line="300" w:lineRule="atLeast"/>
              <w:rPr>
                <w:rFonts w:ascii="微软雅黑" w:eastAsia="微软雅黑" w:hAnsi="微软雅黑"/>
                <w:color w:val="000000"/>
              </w:rPr>
            </w:pPr>
            <w:r>
              <w:rPr>
                <w:rFonts w:ascii="微软雅黑" w:eastAsia="微软雅黑" w:hAnsi="微软雅黑" w:hint="eastAsia"/>
                <w:color w:val="000000"/>
              </w:rPr>
              <w:lastRenderedPageBreak/>
              <w:t>       七、评审委员会（谈判小组）成员名单及打分明细</w:t>
            </w:r>
          </w:p>
        </w:tc>
      </w:tr>
      <w:tr w:rsidR="009A1FA9" w:rsidTr="009A1FA9">
        <w:trPr>
          <w:tblCellSpacing w:w="0" w:type="dxa"/>
          <w:jc w:val="center"/>
        </w:trPr>
        <w:tc>
          <w:tcPr>
            <w:tcW w:w="0" w:type="auto"/>
            <w:vAlign w:val="center"/>
            <w:hideMark/>
          </w:tcPr>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9A1FA9">
              <w:tc>
                <w:tcPr>
                  <w:tcW w:w="0" w:type="auto"/>
                  <w:vAlign w:val="center"/>
                  <w:hideMark/>
                </w:tcPr>
                <w:p w:rsidR="009A1FA9" w:rsidRDefault="009A1FA9">
                  <w:pPr>
                    <w:rPr>
                      <w:rFonts w:ascii="宋体" w:eastAsia="宋体" w:hAnsi="宋体" w:hint="eastAsia"/>
                      <w:sz w:val="20"/>
                      <w:szCs w:val="20"/>
                    </w:rPr>
                  </w:pPr>
                  <w:r>
                    <w:rPr>
                      <w:sz w:val="20"/>
                      <w:szCs w:val="20"/>
                    </w:rPr>
                    <w:t>（一）评审委员会（谈判小组）成员名单：</w:t>
                  </w:r>
                  <w:r>
                    <w:rPr>
                      <w:sz w:val="20"/>
                      <w:szCs w:val="20"/>
                    </w:rPr>
                    <w:br/>
                    <w:t>1、</w:t>
                  </w:r>
                  <w:r>
                    <w:rPr>
                      <w:sz w:val="20"/>
                      <w:szCs w:val="20"/>
                      <w:u w:val="single"/>
                    </w:rPr>
                    <w:t> 单济贤</w:t>
                  </w:r>
                  <w:r>
                    <w:rPr>
                      <w:sz w:val="20"/>
                      <w:szCs w:val="20"/>
                    </w:rPr>
                    <w:t>； 2、</w:t>
                  </w:r>
                  <w:r>
                    <w:rPr>
                      <w:sz w:val="20"/>
                      <w:szCs w:val="20"/>
                      <w:u w:val="single"/>
                    </w:rPr>
                    <w:t> 韩爱琴</w:t>
                  </w:r>
                  <w:r>
                    <w:rPr>
                      <w:sz w:val="20"/>
                      <w:szCs w:val="20"/>
                    </w:rPr>
                    <w:t>； 3、</w:t>
                  </w:r>
                  <w:r>
                    <w:rPr>
                      <w:sz w:val="20"/>
                      <w:szCs w:val="20"/>
                      <w:u w:val="single"/>
                    </w:rPr>
                    <w:t> 刘白</w:t>
                  </w:r>
                  <w:r>
                    <w:rPr>
                      <w:sz w:val="20"/>
                      <w:szCs w:val="20"/>
                    </w:rPr>
                    <w:t>； 4、</w:t>
                  </w:r>
                  <w:r>
                    <w:rPr>
                      <w:sz w:val="20"/>
                      <w:szCs w:val="20"/>
                      <w:u w:val="single"/>
                    </w:rPr>
                    <w:t> 王健华</w:t>
                  </w:r>
                  <w:r>
                    <w:rPr>
                      <w:sz w:val="20"/>
                      <w:szCs w:val="20"/>
                    </w:rPr>
                    <w:t>； 5、</w:t>
                  </w:r>
                  <w:r>
                    <w:rPr>
                      <w:sz w:val="20"/>
                      <w:szCs w:val="20"/>
                      <w:u w:val="single"/>
                    </w:rPr>
                    <w:t> 马振军</w:t>
                  </w:r>
                  <w:r>
                    <w:rPr>
                      <w:sz w:val="20"/>
                      <w:szCs w:val="20"/>
                    </w:rPr>
                    <w:t>；</w:t>
                  </w:r>
                </w:p>
              </w:tc>
            </w:tr>
            <w:tr w:rsidR="009A1FA9">
              <w:tc>
                <w:tcPr>
                  <w:tcW w:w="0" w:type="auto"/>
                  <w:vAlign w:val="center"/>
                  <w:hideMark/>
                </w:tcPr>
                <w:p w:rsidR="009A1FA9" w:rsidRDefault="009A1FA9">
                  <w:pPr>
                    <w:rPr>
                      <w:sz w:val="20"/>
                      <w:szCs w:val="20"/>
                    </w:rPr>
                  </w:pPr>
                  <w:r>
                    <w:rPr>
                      <w:sz w:val="20"/>
                      <w:szCs w:val="20"/>
                    </w:rPr>
                    <w:t>（二）打分明细：专家打分明细（ </w:t>
                  </w:r>
                  <w:hyperlink r:id="rId7" w:tgtFrame="_blank" w:history="1">
                    <w:r>
                      <w:rPr>
                        <w:rStyle w:val="a7"/>
                      </w:rPr>
                      <w:t>A包</w:t>
                    </w:r>
                  </w:hyperlink>
                  <w:r>
                    <w:rPr>
                      <w:sz w:val="20"/>
                      <w:szCs w:val="20"/>
                    </w:rPr>
                    <w:t>； ）</w:t>
                  </w:r>
                </w:p>
              </w:tc>
            </w:tr>
          </w:tbl>
          <w:p w:rsidR="009A1FA9" w:rsidRDefault="009A1FA9">
            <w:pPr>
              <w:spacing w:line="300" w:lineRule="atLeast"/>
              <w:rPr>
                <w:rFonts w:ascii="微软雅黑" w:eastAsia="微软雅黑" w:hAnsi="微软雅黑"/>
                <w:color w:val="000000"/>
                <w:sz w:val="20"/>
                <w:szCs w:val="20"/>
              </w:rPr>
            </w:pPr>
          </w:p>
        </w:tc>
      </w:tr>
      <w:tr w:rsidR="009A1FA9" w:rsidTr="009A1FA9">
        <w:trPr>
          <w:tblCellSpacing w:w="0" w:type="dxa"/>
          <w:jc w:val="center"/>
        </w:trPr>
        <w:tc>
          <w:tcPr>
            <w:tcW w:w="0" w:type="auto"/>
            <w:vAlign w:val="center"/>
            <w:hideMark/>
          </w:tcPr>
          <w:p w:rsidR="009A1FA9" w:rsidRDefault="009A1FA9" w:rsidP="009A1FA9">
            <w:pPr>
              <w:pStyle w:val="3"/>
              <w:spacing w:line="300" w:lineRule="atLeast"/>
              <w:rPr>
                <w:rFonts w:ascii="微软雅黑" w:eastAsia="微软雅黑" w:hAnsi="微软雅黑"/>
                <w:color w:val="000000"/>
              </w:rPr>
            </w:pPr>
            <w:r>
              <w:rPr>
                <w:rFonts w:ascii="微软雅黑" w:eastAsia="微软雅黑" w:hAnsi="微软雅黑" w:hint="eastAsia"/>
                <w:color w:val="000000"/>
              </w:rPr>
              <w:t>       八、代理服务收费标准及金额：</w:t>
            </w:r>
          </w:p>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sz w:val="20"/>
                <w:szCs w:val="20"/>
              </w:rPr>
              <w:t>根据原国家计委《招标代理服务收费管理暂行办法》（计价格[2002]1980号）和国家发改委办公厅《关于招标代理服务收费有关问题的通知》（发改办价格[2003]857号）文件相关规定，本项目招标代费为6.7475万元，由中标人支付。</w:t>
            </w:r>
          </w:p>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九、公示期限</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2021年06月23日至 2021年06月25日</w:t>
            </w:r>
          </w:p>
          <w:p w:rsidR="009A1FA9" w:rsidRDefault="009A1FA9" w:rsidP="009A1FA9">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十、其他补充事宜</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1.供应商投标（响应）文件：详见附件。</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2.供应商质疑：本公示期限为三日。投标供应商认为中标或者成交结果使自己的权益受到损害的，应当自本公告期内提出质疑。质疑咨询电话：高工0755-25193582。</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r>
              <w:rPr>
                <w:rStyle w:val="a9"/>
                <w:rFonts w:ascii="微软雅黑" w:eastAsia="微软雅黑" w:hAnsi="微软雅黑" w:hint="eastAsia"/>
                <w:color w:val="000000"/>
                <w:sz w:val="27"/>
                <w:szCs w:val="27"/>
              </w:rPr>
              <w:t> 十一、凡对本次公示内容提出询问，请按以下方式联系。</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1.采购人：深圳市市场监督管理局龙岗监管局</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联系人及联系电话：何工 0755- 28910082</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地址：深圳市龙岗区中心城行政路8号工商物价大厦</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2.招标代理机构：深圳市综合交通设计研究院有限公司</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联系人及联系电话：高工0755—25193582；冯工0755—25193591</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传真：0755—25193593</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地址：深圳市罗湖区翠山路77号（粤通办公楼五楼503室）</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Cs w:val="21"/>
              </w:rPr>
              <w:t>Email：819144532@qq.com</w:t>
            </w:r>
          </w:p>
          <w:p w:rsidR="009A1FA9" w:rsidRDefault="009A1FA9" w:rsidP="009A1FA9">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3.网上操作咨询：83948100，83948149，83938544（若下载招标文件有困难，请与我们联系），注册咨询：83938966 ，电子密钥咨询：83948165  4008301330</w:t>
            </w:r>
          </w:p>
          <w:p w:rsidR="009A1FA9" w:rsidRDefault="009A1FA9" w:rsidP="009A1FA9">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br/>
              <w:t>      </w:t>
            </w:r>
            <w:r>
              <w:rPr>
                <w:rStyle w:val="a9"/>
                <w:rFonts w:ascii="微软雅黑" w:eastAsia="微软雅黑" w:hAnsi="微软雅黑" w:hint="eastAsia"/>
                <w:color w:val="000000"/>
                <w:sz w:val="27"/>
                <w:szCs w:val="27"/>
              </w:rPr>
              <w:t> 十二、附件</w:t>
            </w:r>
          </w:p>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采购文件ZBS：</w:t>
            </w:r>
            <w:hyperlink r:id="rId8" w:tgtFrame="_blank" w:history="1">
              <w:r>
                <w:rPr>
                  <w:rStyle w:val="a7"/>
                  <w:rFonts w:ascii="微软雅黑" w:eastAsia="微软雅黑" w:hAnsi="微软雅黑" w:hint="eastAsia"/>
                </w:rPr>
                <w:t>-点此下载-</w:t>
              </w:r>
            </w:hyperlink>
            <w:r>
              <w:rPr>
                <w:rFonts w:ascii="微软雅黑" w:eastAsia="微软雅黑" w:hAnsi="微软雅黑" w:hint="eastAsia"/>
                <w:color w:val="000000"/>
                <w:sz w:val="20"/>
                <w:szCs w:val="20"/>
              </w:rPr>
              <w:br/>
              <w:t>采购文件PDF：</w:t>
            </w:r>
            <w:hyperlink r:id="rId9" w:tgtFrame="_blank" w:history="1">
              <w:r>
                <w:rPr>
                  <w:rStyle w:val="a7"/>
                  <w:rFonts w:ascii="微软雅黑" w:eastAsia="微软雅黑" w:hAnsi="微软雅黑" w:hint="eastAsia"/>
                </w:rPr>
                <w:t>-点此下载-</w:t>
              </w:r>
            </w:hyperlink>
            <w:r>
              <w:rPr>
                <w:rFonts w:ascii="微软雅黑" w:eastAsia="微软雅黑" w:hAnsi="微软雅黑" w:hint="eastAsia"/>
                <w:color w:val="000000"/>
                <w:sz w:val="20"/>
                <w:szCs w:val="20"/>
              </w:rPr>
              <w:br/>
              <w:t>采购文件DOC：</w:t>
            </w:r>
            <w:hyperlink r:id="rId10" w:tgtFrame="_blank" w:history="1">
              <w:r>
                <w:rPr>
                  <w:rStyle w:val="a7"/>
                  <w:rFonts w:ascii="微软雅黑" w:eastAsia="微软雅黑" w:hAnsi="微软雅黑" w:hint="eastAsia"/>
                </w:rPr>
                <w:t>-点此下载-</w:t>
              </w:r>
            </w:hyperlink>
            <w:r>
              <w:rPr>
                <w:rFonts w:ascii="微软雅黑" w:eastAsia="微软雅黑" w:hAnsi="微软雅黑" w:hint="eastAsia"/>
                <w:color w:val="000000"/>
                <w:sz w:val="20"/>
                <w:szCs w:val="20"/>
              </w:rPr>
              <w:t>（已公告的可不重复公告）</w:t>
            </w:r>
          </w:p>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中标、成交供应商为中小企业的，应公告其《中小企业声明函》。（详见供应商投标文件）</w:t>
            </w:r>
          </w:p>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中标、成交供应商为残疾人福利性单位的，应公告其《残疾人福利性单位声明函》。（详见供应商投标文件）</w:t>
            </w:r>
          </w:p>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中标、成交供应商为注册地在国家级贫困县域内物业公司的，应公告注册所在县扶贫部门出具的聘用建档立卡贫困人员具体数量的证明。（详见供应商投标文件）</w:t>
            </w:r>
          </w:p>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投标供应商资格响应文件。 A包 ：</w:t>
            </w:r>
            <w:hyperlink r:id="rId11" w:tgtFrame="_blank" w:history="1">
              <w:r>
                <w:rPr>
                  <w:rStyle w:val="a7"/>
                  <w:rFonts w:ascii="微软雅黑" w:eastAsia="微软雅黑" w:hAnsi="微软雅黑" w:hint="eastAsia"/>
                </w:rPr>
                <w:t> 公开部分.zip</w:t>
              </w:r>
            </w:hyperlink>
          </w:p>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投标供应商投标文件。 A包 ：</w:t>
            </w:r>
            <w:hyperlink r:id="rId12" w:tgtFrame="_blank" w:history="1">
              <w:r>
                <w:rPr>
                  <w:rStyle w:val="a7"/>
                  <w:rFonts w:ascii="微软雅黑" w:eastAsia="微软雅黑" w:hAnsi="微软雅黑" w:hint="eastAsia"/>
                </w:rPr>
                <w:t> 公开部分.zip</w:t>
              </w:r>
            </w:hyperlink>
          </w:p>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评分结果表：</w:t>
            </w:r>
            <w:r>
              <w:rPr>
                <w:rFonts w:ascii="微软雅黑" w:eastAsia="微软雅黑" w:hAnsi="微软雅黑" w:hint="eastAsia"/>
                <w:color w:val="000000"/>
                <w:sz w:val="20"/>
                <w:szCs w:val="20"/>
              </w:rPr>
              <w:br/>
            </w:r>
          </w:p>
          <w:tbl>
            <w:tblPr>
              <w:tblW w:w="21600"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3352"/>
              <w:gridCol w:w="1859"/>
              <w:gridCol w:w="1515"/>
              <w:gridCol w:w="1859"/>
              <w:gridCol w:w="1515"/>
              <w:gridCol w:w="2204"/>
              <w:gridCol w:w="941"/>
              <w:gridCol w:w="941"/>
              <w:gridCol w:w="941"/>
              <w:gridCol w:w="941"/>
              <w:gridCol w:w="941"/>
              <w:gridCol w:w="1056"/>
              <w:gridCol w:w="1056"/>
              <w:gridCol w:w="941"/>
              <w:gridCol w:w="941"/>
              <w:gridCol w:w="597"/>
            </w:tblGrid>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rFonts w:hint="eastAsia"/>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王健华</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单济贤</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韩爱琴</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刘白</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马振军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9A1FA9" w:rsidRDefault="009A1FA9">
                  <w:pPr>
                    <w:pStyle w:val="a8"/>
                    <w:jc w:val="center"/>
                    <w:rPr>
                      <w:sz w:val="20"/>
                      <w:szCs w:val="20"/>
                    </w:rPr>
                  </w:pPr>
                  <w:r>
                    <w:rPr>
                      <w:sz w:val="20"/>
                      <w:szCs w:val="20"/>
                    </w:rPr>
                    <w:t>名次</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深圳市计量质量检测研究院</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0.9300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85.0000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83.8000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83.8000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82.8000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84.6000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84.0000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4.8387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88.8387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1</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深圳中检联检测有限公司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50.3000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52.5000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54.1000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54.1000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52.1000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263.1000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52.6200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15.0000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67.6200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2</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华测检测认证集团股份有限公司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0.8800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58.3000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58.5000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61.1000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60.1000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58.3000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296.3000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59.2600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5.1136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64.3736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3</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深圳市中鼎检测技术有限公司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0.0420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0.6580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47.4500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48.6500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51.2500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51.2500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50.4500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249.0500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49.8100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6.8389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56.6489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w:t>
                  </w:r>
                </w:p>
              </w:tc>
            </w:tr>
            <w:tr w:rsidR="009A1FA9" w:rsidTr="009A1FA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深圳海关食品检验检疫技术中心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0.9500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45.3600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48.9600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48.9600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47.9600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49.7600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241.0000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48.2000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4.7368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52.9368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9A1FA9" w:rsidRDefault="009A1FA9">
                  <w:pPr>
                    <w:pStyle w:val="a8"/>
                    <w:jc w:val="center"/>
                    <w:rPr>
                      <w:sz w:val="20"/>
                      <w:szCs w:val="20"/>
                    </w:rPr>
                  </w:pPr>
                  <w:r>
                    <w:rPr>
                      <w:sz w:val="20"/>
                      <w:szCs w:val="20"/>
                    </w:rPr>
                    <w:t>5</w:t>
                  </w:r>
                </w:p>
              </w:tc>
            </w:tr>
          </w:tbl>
          <w:p w:rsidR="009A1FA9" w:rsidRDefault="009A1FA9" w:rsidP="009A1FA9">
            <w:pPr>
              <w:widowControl/>
              <w:numPr>
                <w:ilvl w:val="0"/>
                <w:numId w:val="3"/>
              </w:numPr>
              <w:spacing w:before="100" w:beforeAutospacing="1" w:after="100" w:afterAutospacing="1" w:line="300" w:lineRule="atLeast"/>
              <w:jc w:val="left"/>
              <w:rPr>
                <w:rFonts w:ascii="微软雅黑" w:eastAsia="微软雅黑" w:hAnsi="微软雅黑"/>
                <w:color w:val="000000"/>
                <w:sz w:val="20"/>
                <w:szCs w:val="20"/>
              </w:rPr>
            </w:pPr>
            <w:r>
              <w:rPr>
                <w:rFonts w:ascii="微软雅黑" w:eastAsia="微软雅黑" w:hAnsi="微软雅黑" w:hint="eastAsia"/>
                <w:color w:val="000000"/>
                <w:sz w:val="20"/>
                <w:szCs w:val="20"/>
              </w:rPr>
              <w:t>采购文件约定公开的其他内容.（专家评审明细表 </w:t>
            </w:r>
            <w:hyperlink r:id="rId13" w:tgtFrame="_blank" w:history="1">
              <w:r>
                <w:rPr>
                  <w:rStyle w:val="a7"/>
                  <w:rFonts w:ascii="微软雅黑" w:eastAsia="微软雅黑" w:hAnsi="微软雅黑" w:hint="eastAsia"/>
                </w:rPr>
                <w:t>A包</w:t>
              </w:r>
            </w:hyperlink>
            <w:r>
              <w:rPr>
                <w:rFonts w:ascii="微软雅黑" w:eastAsia="微软雅黑" w:hAnsi="微软雅黑" w:hint="eastAsia"/>
                <w:color w:val="000000"/>
                <w:sz w:val="20"/>
                <w:szCs w:val="20"/>
              </w:rPr>
              <w:t>； 、 供应商价格调整类型报表 </w:t>
            </w:r>
            <w:hyperlink r:id="rId14" w:tgtFrame="_blank" w:history="1">
              <w:r>
                <w:rPr>
                  <w:rStyle w:val="a7"/>
                  <w:rFonts w:ascii="微软雅黑" w:eastAsia="微软雅黑" w:hAnsi="微软雅黑" w:hint="eastAsia"/>
                </w:rPr>
                <w:t>A包</w:t>
              </w:r>
            </w:hyperlink>
            <w:r>
              <w:rPr>
                <w:rFonts w:ascii="微软雅黑" w:eastAsia="微软雅黑" w:hAnsi="微软雅黑" w:hint="eastAsia"/>
                <w:color w:val="000000"/>
                <w:sz w:val="20"/>
                <w:szCs w:val="20"/>
              </w:rPr>
              <w:t>； ）</w:t>
            </w:r>
          </w:p>
        </w:tc>
      </w:tr>
      <w:tr w:rsidR="009A1FA9" w:rsidTr="009A1FA9">
        <w:trPr>
          <w:tblCellSpacing w:w="0" w:type="dxa"/>
          <w:jc w:val="center"/>
        </w:trPr>
        <w:tc>
          <w:tcPr>
            <w:tcW w:w="0" w:type="auto"/>
            <w:hideMark/>
          </w:tcPr>
          <w:p w:rsidR="009A1FA9" w:rsidRDefault="009A1FA9" w:rsidP="009A1FA9">
            <w:pPr>
              <w:spacing w:line="30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br/>
              <w:t>深圳市综合交通设计研究院有限公司</w:t>
            </w:r>
            <w:r>
              <w:rPr>
                <w:rFonts w:ascii="微软雅黑" w:eastAsia="微软雅黑" w:hAnsi="微软雅黑" w:hint="eastAsia"/>
                <w:color w:val="000000"/>
                <w:sz w:val="20"/>
                <w:szCs w:val="20"/>
              </w:rPr>
              <w:br/>
              <w:t>2021年06月22日</w:t>
            </w:r>
          </w:p>
        </w:tc>
      </w:tr>
    </w:tbl>
    <w:p w:rsidR="00865692" w:rsidRPr="009A1FA9" w:rsidRDefault="00865692" w:rsidP="009A1FA9"/>
    <w:sectPr w:rsidR="00865692" w:rsidRPr="009A1FA9"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E0" w:rsidRDefault="00632CE0" w:rsidP="00863768">
      <w:r>
        <w:separator/>
      </w:r>
    </w:p>
  </w:endnote>
  <w:endnote w:type="continuationSeparator" w:id="0">
    <w:p w:rsidR="00632CE0" w:rsidRDefault="00632CE0"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E0" w:rsidRDefault="00632CE0" w:rsidP="00863768">
      <w:r>
        <w:separator/>
      </w:r>
    </w:p>
  </w:footnote>
  <w:footnote w:type="continuationSeparator" w:id="0">
    <w:p w:rsidR="00632CE0" w:rsidRDefault="00632CE0"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34A6E"/>
    <w:rsid w:val="000378F0"/>
    <w:rsid w:val="00051EC6"/>
    <w:rsid w:val="000535D2"/>
    <w:rsid w:val="0005367C"/>
    <w:rsid w:val="000571CE"/>
    <w:rsid w:val="00065340"/>
    <w:rsid w:val="00066D89"/>
    <w:rsid w:val="000702B0"/>
    <w:rsid w:val="00070869"/>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61423"/>
    <w:rsid w:val="00162408"/>
    <w:rsid w:val="0016384C"/>
    <w:rsid w:val="00165037"/>
    <w:rsid w:val="0016591C"/>
    <w:rsid w:val="001659A9"/>
    <w:rsid w:val="001664DF"/>
    <w:rsid w:val="00172775"/>
    <w:rsid w:val="00181885"/>
    <w:rsid w:val="00181BA7"/>
    <w:rsid w:val="001836F1"/>
    <w:rsid w:val="001855FA"/>
    <w:rsid w:val="0018791C"/>
    <w:rsid w:val="00196ABB"/>
    <w:rsid w:val="001A453C"/>
    <w:rsid w:val="001B0A89"/>
    <w:rsid w:val="001C0F79"/>
    <w:rsid w:val="001C2354"/>
    <w:rsid w:val="001D0BCD"/>
    <w:rsid w:val="001D47D8"/>
    <w:rsid w:val="001D51CB"/>
    <w:rsid w:val="001D5554"/>
    <w:rsid w:val="001D6C52"/>
    <w:rsid w:val="001D6FEF"/>
    <w:rsid w:val="001E2DC4"/>
    <w:rsid w:val="001E2E3B"/>
    <w:rsid w:val="001E31B5"/>
    <w:rsid w:val="001E4721"/>
    <w:rsid w:val="001F0290"/>
    <w:rsid w:val="001F239E"/>
    <w:rsid w:val="001F41D1"/>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54FB6"/>
    <w:rsid w:val="00355EB6"/>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7261"/>
    <w:rsid w:val="003F12F6"/>
    <w:rsid w:val="003F593E"/>
    <w:rsid w:val="0040568B"/>
    <w:rsid w:val="00417B5D"/>
    <w:rsid w:val="0042520B"/>
    <w:rsid w:val="0042575C"/>
    <w:rsid w:val="0042710F"/>
    <w:rsid w:val="00434A21"/>
    <w:rsid w:val="00435792"/>
    <w:rsid w:val="00435B6A"/>
    <w:rsid w:val="00444681"/>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7A78"/>
    <w:rsid w:val="00650570"/>
    <w:rsid w:val="00651420"/>
    <w:rsid w:val="0065339B"/>
    <w:rsid w:val="00656451"/>
    <w:rsid w:val="00676679"/>
    <w:rsid w:val="0068020A"/>
    <w:rsid w:val="00682019"/>
    <w:rsid w:val="00683E4A"/>
    <w:rsid w:val="00686ECA"/>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4B40"/>
    <w:rsid w:val="00C377D9"/>
    <w:rsid w:val="00C4227E"/>
    <w:rsid w:val="00C430E5"/>
    <w:rsid w:val="00C5041D"/>
    <w:rsid w:val="00C56B93"/>
    <w:rsid w:val="00C616EC"/>
    <w:rsid w:val="00C647E0"/>
    <w:rsid w:val="00C72A17"/>
    <w:rsid w:val="00C7590D"/>
    <w:rsid w:val="00C8344B"/>
    <w:rsid w:val="00C90401"/>
    <w:rsid w:val="00C9301E"/>
    <w:rsid w:val="00C937C8"/>
    <w:rsid w:val="00C94A6B"/>
    <w:rsid w:val="00C95290"/>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46062811" TargetMode="External"/><Relationship Id="rId13" Type="http://schemas.openxmlformats.org/officeDocument/2006/relationships/hyperlink" Target="http://dlcg.szzfcg.cn/portal/documentView.do?method=accordedRecDetail&amp;project_id=946062811&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946062811&amp;bundle_id=A&amp;mark_degree=1" TargetMode="External"/><Relationship Id="rId12" Type="http://schemas.openxmlformats.org/officeDocument/2006/relationships/hyperlink" Target="http://dlcg.szzfcg.cn/stock/fileDown.do?method=download&amp;id=28735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8735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946062811&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46062811&amp;type=2" TargetMode="External"/><Relationship Id="rId14" Type="http://schemas.openxmlformats.org/officeDocument/2006/relationships/hyperlink" Target="http://dlcg.szzfcg.cn/portal/documentView.do?method=selectAdjust&amp;project_id=946062811&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493</Words>
  <Characters>2812</Characters>
  <Application>Microsoft Office Word</Application>
  <DocSecurity>0</DocSecurity>
  <Lines>23</Lines>
  <Paragraphs>6</Paragraphs>
  <ScaleCrop>false</ScaleCrop>
  <Company>Lenovo</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2021-06-04T09:00:00Z</dcterms:created>
  <dcterms:modified xsi:type="dcterms:W3CDTF">2021-06-22T02:33:00Z</dcterms:modified>
</cp:coreProperties>
</file>